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口述史成果交流赛文章格式及引证标注规定</w:t>
      </w:r>
    </w:p>
    <w:p>
      <w:pPr>
        <w:spacing w:line="360" w:lineRule="auto"/>
        <w:ind w:firstLine="360" w:firstLineChars="15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firstLine="360" w:firstLineChars="15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《口述史成果交流赛文章格式及引证标注规定》为中山大学历史学系根据往届成果交流赛文章，并参考《中山大学本科毕业论文格式》及《&lt;历史研究&gt;引证标注规定》制定。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大赛主办及协办方就本次大赛参赛文章的字数，形式结构（即是否有封面、目录、摘要、引言、结语、致谢及附录等部分）及文体均无具体要求，不影响参赛队伍得分。但就文章字体，字号及文献引证标注方式有规定如下，以供参考。各种情况，可酌情自定。</w:t>
      </w:r>
    </w:p>
    <w:p>
      <w:pPr>
        <w:snapToGrid w:val="0"/>
        <w:spacing w:line="440" w:lineRule="exact"/>
        <w:rPr>
          <w:rFonts w:ascii="宋体" w:hAnsi="宋体"/>
          <w:b/>
          <w:sz w:val="24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一、字体和字号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文章题目 </w:t>
      </w:r>
      <w:r>
        <w:rPr>
          <w:rFonts w:hint="eastAsia" w:ascii="宋体" w:hAnsi="宋体"/>
          <w:szCs w:val="21"/>
        </w:rPr>
        <w:t xml:space="preserve">                        三号宋体加粗</w:t>
      </w:r>
    </w:p>
    <w:p>
      <w:pPr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署名                            </w:t>
      </w:r>
      <w:r>
        <w:rPr>
          <w:rFonts w:hint="eastAsia" w:ascii="宋体" w:hAnsi="宋体"/>
          <w:szCs w:val="21"/>
        </w:rPr>
        <w:t xml:space="preserve"> 小四号宋体加粗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各部分标题</w:t>
      </w:r>
      <w:r>
        <w:rPr>
          <w:rFonts w:hint="eastAsia" w:ascii="宋体" w:hAnsi="宋体"/>
          <w:szCs w:val="21"/>
        </w:rPr>
        <w:t xml:space="preserve">                       四号黑体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中文摘要、关键词标题 </w:t>
      </w:r>
      <w:r>
        <w:rPr>
          <w:rFonts w:hint="eastAsia" w:ascii="宋体" w:hAnsi="宋体"/>
          <w:szCs w:val="21"/>
        </w:rPr>
        <w:t xml:space="preserve">            五号黑体并加方括号 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中文摘要、关键词内容</w:t>
      </w:r>
      <w:r>
        <w:rPr>
          <w:rFonts w:hint="eastAsia" w:ascii="宋体" w:hAnsi="宋体"/>
          <w:szCs w:val="21"/>
        </w:rPr>
        <w:t xml:space="preserve">             五号楷体 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英文摘要、关键词标题</w:t>
      </w:r>
      <w:r>
        <w:rPr>
          <w:rFonts w:hint="eastAsia" w:ascii="宋体" w:hAnsi="宋体"/>
          <w:szCs w:val="21"/>
        </w:rPr>
        <w:t xml:space="preserve">             小四号新罗马体（Time New Roman）加粗并加方括号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英文摘要内容</w:t>
      </w:r>
      <w:r>
        <w:rPr>
          <w:rFonts w:hint="eastAsia" w:ascii="宋体" w:hAnsi="宋体"/>
          <w:szCs w:val="21"/>
        </w:rPr>
        <w:t xml:space="preserve">                     小四号新罗马体（Time New Roman）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目录标题</w:t>
      </w:r>
      <w:r>
        <w:rPr>
          <w:rFonts w:hint="eastAsia" w:ascii="宋体" w:hAnsi="宋体"/>
          <w:szCs w:val="21"/>
        </w:rPr>
        <w:t xml:space="preserve">                         三号宋体加粗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目录内容中章的标题</w:t>
      </w:r>
      <w:r>
        <w:rPr>
          <w:rFonts w:hint="eastAsia" w:ascii="宋体" w:hAnsi="宋体"/>
          <w:szCs w:val="21"/>
        </w:rPr>
        <w:t xml:space="preserve">               四号黑体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目录中其他内容</w:t>
      </w:r>
      <w:r>
        <w:rPr>
          <w:rFonts w:hint="eastAsia" w:ascii="宋体" w:hAnsi="宋体"/>
          <w:szCs w:val="21"/>
        </w:rPr>
        <w:t xml:space="preserve">                   五号宋体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正文</w:t>
      </w:r>
      <w:r>
        <w:rPr>
          <w:rFonts w:hint="eastAsia" w:ascii="宋体" w:hAnsi="宋体"/>
          <w:szCs w:val="21"/>
        </w:rPr>
        <w:t xml:space="preserve">                             五号宋体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注释、参考文献标题</w:t>
      </w:r>
      <w:r>
        <w:rPr>
          <w:rFonts w:hint="eastAsia" w:ascii="宋体" w:hAnsi="宋体"/>
          <w:szCs w:val="21"/>
        </w:rPr>
        <w:t xml:space="preserve">               小五号黑体并加冒号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注释、参考文献内容</w:t>
      </w:r>
      <w:r>
        <w:rPr>
          <w:rFonts w:hint="eastAsia" w:ascii="宋体" w:hAnsi="宋体"/>
          <w:szCs w:val="21"/>
        </w:rPr>
        <w:t xml:space="preserve">               小五号宋体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致谢、附录标题</w:t>
      </w:r>
      <w:r>
        <w:rPr>
          <w:rFonts w:hint="eastAsia" w:ascii="宋体" w:hAnsi="宋体"/>
          <w:szCs w:val="21"/>
        </w:rPr>
        <w:t xml:space="preserve">                   四号黑体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致谢、附录内容</w:t>
      </w:r>
      <w:r>
        <w:rPr>
          <w:rFonts w:hint="eastAsia" w:ascii="宋体" w:hAnsi="宋体"/>
          <w:szCs w:val="21"/>
        </w:rPr>
        <w:t xml:space="preserve">                   五号宋体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论文页码 </w:t>
      </w:r>
      <w:r>
        <w:rPr>
          <w:rFonts w:hint="eastAsia" w:ascii="宋体" w:hAnsi="宋体"/>
          <w:szCs w:val="21"/>
        </w:rPr>
        <w:t xml:space="preserve">                        页脚居中、阿拉伯数字（五号新罗马体）连续编码</w:t>
      </w:r>
    </w:p>
    <w:p>
      <w:pPr>
        <w:snapToGrid w:val="0"/>
        <w:spacing w:line="440" w:lineRule="exact"/>
        <w:rPr>
          <w:rFonts w:ascii="宋体" w:hAnsi="宋体"/>
          <w:b/>
          <w:szCs w:val="21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二、关键词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摘要正文下方另起一行顶格打印“关键词”款项，每个关键词之间用“；”分开，最后一个关键词不打标点符号。</w:t>
      </w:r>
    </w:p>
    <w:p>
      <w:pPr>
        <w:snapToGrid w:val="0"/>
        <w:spacing w:line="440" w:lineRule="exact"/>
        <w:rPr>
          <w:rFonts w:ascii="宋体" w:hAnsi="宋体"/>
          <w:b/>
          <w:szCs w:val="21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三、目录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目录应另起一页，包括论文中的各级标题，按照“一……”、“（一）……”或“1……”、“1.1……”格式编写。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四、各级标题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论文内文各大部分的标题用“一、二……（或1、2……）”，次级标题为“（一）、（二）……（或1.1、2.1……）”，三级标题用“1、2……（或1.1.1、2.1.1……）”，四级标题用“（1）、（2）……（或1.1.1.1、2.1.1.1……）”。不再使用五级以下标题。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五、注释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文章中有个别名词或情况需要解释时，可加注说明</w:t>
      </w:r>
      <w:r>
        <w:rPr>
          <w:rFonts w:hint="eastAsia" w:ascii="宋体" w:hAnsi="宋体"/>
          <w:szCs w:val="21"/>
        </w:rPr>
        <w:t>。注释统一采用页下注（插入脚注），</w:t>
      </w:r>
      <w:r>
        <w:rPr>
          <w:rFonts w:hint="eastAsia"/>
        </w:rPr>
        <w:t>页下注释采用每页重新编号的形式。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</w:p>
    <w:p>
      <w:pPr>
        <w:snapToGrid w:val="0"/>
        <w:spacing w:line="44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六、参考文献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参考文献的著录应符合国家标准，参考文献的序号左顶格，并用数字加方括号表示，如“[1]”。具体各类参考文献的编排格式如下：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（一）、文献是</w:t>
      </w:r>
      <w:r>
        <w:rPr>
          <w:rFonts w:hint="eastAsia" w:ascii="宋体" w:hAnsi="宋体"/>
          <w:b/>
          <w:szCs w:val="21"/>
        </w:rPr>
        <w:t>普通图书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left="420" w:leftChars="200" w:firstLine="52" w:firstLineChars="25"/>
        <w:rPr>
          <w:rFonts w:ascii="楷体_GB2312" w:eastAsia="楷体_GB2312"/>
        </w:rPr>
      </w:pPr>
      <w:r>
        <w:rPr>
          <w:rFonts w:hint="eastAsia" w:ascii="宋体" w:hAnsi="宋体"/>
          <w:szCs w:val="21"/>
        </w:rPr>
        <w:t xml:space="preserve">[序号] </w:t>
      </w:r>
      <w:r>
        <w:rPr>
          <w:rFonts w:hint="eastAsia"/>
        </w:rPr>
        <w:t>责任者与责任方式，</w:t>
      </w:r>
      <w:r>
        <w:rPr>
          <w:rFonts w:hint="eastAsia" w:ascii="宋体" w:hAnsi="宋体"/>
          <w:szCs w:val="21"/>
        </w:rPr>
        <w:t>书名，卷册，出版地：出版单位，出版年份，起止页码。</w:t>
      </w:r>
      <w:r>
        <w:rPr>
          <w:rFonts w:hint="eastAsia" w:ascii="楷体_GB2312" w:eastAsia="楷体_GB2312"/>
        </w:rPr>
        <w:t>孔飞力：《叫魂》，陈兼、刘昶译，上海：上海三联书店，1999年，第207页</w:t>
      </w:r>
      <w:r>
        <w:rPr>
          <w:rFonts w:hint="eastAsia" w:ascii="宋体" w:hAnsi="宋体"/>
        </w:rPr>
        <w:t>。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（二）、文献是</w:t>
      </w:r>
      <w:r>
        <w:rPr>
          <w:rFonts w:hint="eastAsia" w:ascii="宋体" w:hAnsi="宋体"/>
          <w:b/>
          <w:szCs w:val="21"/>
        </w:rPr>
        <w:t>析出文献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left="420" w:left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[序号] </w:t>
      </w:r>
      <w:r>
        <w:rPr>
          <w:rFonts w:hint="eastAsia"/>
        </w:rPr>
        <w:t>作者，析出文献名，文集编者，文集题名，卷册</w:t>
      </w:r>
      <w:r>
        <w:rPr>
          <w:rFonts w:hint="eastAsia" w:ascii="宋体" w:hAnsi="宋体"/>
          <w:szCs w:val="21"/>
        </w:rPr>
        <w:t>，出版地：出版单位，出版年份，起止页码。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1、文集</w:t>
      </w:r>
    </w:p>
    <w:p>
      <w:pPr>
        <w:ind w:left="840" w:leftChars="400"/>
        <w:rPr>
          <w:rFonts w:ascii="楷体_GB2312" w:eastAsia="楷体_GB2312"/>
        </w:rPr>
      </w:pPr>
      <w:r>
        <w:rPr>
          <w:rFonts w:hint="eastAsia" w:ascii="楷体_GB2312" w:eastAsia="楷体_GB2312"/>
        </w:rPr>
        <w:t>黄宗羲：《汪魏美先生墓志铭》，沈善洪主编：《黄宗羲全集》第10册，杭州：浙江古籍出版社，1992年，第382页。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2、书信集、档案文献汇编</w:t>
      </w:r>
    </w:p>
    <w:p>
      <w:pPr>
        <w:ind w:left="840" w:leftChars="400"/>
        <w:rPr>
          <w:rFonts w:ascii="楷体_GB2312" w:eastAsia="楷体_GB2312"/>
        </w:rPr>
      </w:pPr>
      <w:r>
        <w:rPr>
          <w:rFonts w:hint="eastAsia" w:ascii="楷体_GB2312" w:eastAsia="楷体_GB2312"/>
        </w:rPr>
        <w:t>《复孙毓修函》，1911年6月3日，高平叔、王世儒编注：《蔡元培书信集》上册，杭州：浙江教育出版社，2000年，第99页。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3、序跋、后记</w:t>
      </w:r>
    </w:p>
    <w:p>
      <w:pPr>
        <w:ind w:left="840" w:leftChars="400"/>
      </w:pPr>
      <w:r>
        <w:rPr>
          <w:rFonts w:hint="eastAsia" w:ascii="楷体_GB2312" w:eastAsia="楷体_GB2312"/>
        </w:rPr>
        <w:t>楼适夷：《读家书，想傅雷（代序）》，傅敏编：《傅雷家书》（增补本），北京：三联书店，1988年，第1页。</w:t>
      </w:r>
    </w:p>
    <w:p>
      <w:pPr>
        <w:snapToGrid w:val="0"/>
        <w:spacing w:line="440" w:lineRule="exact"/>
        <w:ind w:left="420" w:left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（三）、文献是</w:t>
      </w:r>
      <w:r>
        <w:rPr>
          <w:rFonts w:hint="eastAsia" w:ascii="宋体" w:hAnsi="宋体"/>
          <w:b/>
          <w:szCs w:val="21"/>
        </w:rPr>
        <w:t>古籍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left="420" w:leftChars="200"/>
      </w:pPr>
      <w:r>
        <w:rPr>
          <w:rFonts w:hint="eastAsia" w:ascii="宋体" w:hAnsi="宋体"/>
          <w:szCs w:val="21"/>
        </w:rPr>
        <w:t xml:space="preserve">[序号] </w:t>
      </w:r>
      <w:r>
        <w:rPr>
          <w:rFonts w:hint="eastAsia"/>
        </w:rPr>
        <w:t>责任者与责任方式，书名，卷次，部类名及篇名，版本，起止</w:t>
      </w:r>
      <w:r>
        <w:rPr>
          <w:rFonts w:hint="eastAsia" w:ascii="宋体" w:hAnsi="宋体"/>
        </w:rPr>
        <w:t>页码。</w:t>
      </w:r>
    </w:p>
    <w:p>
      <w:pPr>
        <w:ind w:left="420" w:left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何璘：《澧州志林》卷23《书李自成传后》，乾隆十五年刻本，第31－34页。</w:t>
      </w:r>
    </w:p>
    <w:p>
      <w:pPr>
        <w:snapToGrid w:val="0"/>
        <w:spacing w:line="440" w:lineRule="exact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（四）、文献来自</w:t>
      </w:r>
      <w:r>
        <w:rPr>
          <w:rFonts w:hint="eastAsia" w:ascii="宋体" w:hAnsi="宋体"/>
          <w:b/>
          <w:szCs w:val="21"/>
        </w:rPr>
        <w:t>期刊报纸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firstLine="577" w:firstLineChars="2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1、期刊</w:t>
      </w:r>
    </w:p>
    <w:p>
      <w:pPr>
        <w:snapToGrid w:val="0"/>
        <w:spacing w:line="440" w:lineRule="exact"/>
        <w:ind w:firstLine="892" w:firstLineChars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[序号] 作者，文章题目，</w:t>
      </w:r>
      <w:r>
        <w:rPr>
          <w:rFonts w:hint="eastAsia"/>
        </w:rPr>
        <w:t>期刊名称</w:t>
      </w:r>
      <w:r>
        <w:rPr>
          <w:rFonts w:hint="eastAsia" w:ascii="宋体" w:hAnsi="宋体"/>
          <w:szCs w:val="21"/>
        </w:rPr>
        <w:t>，卷册号及出版日期，起止</w:t>
      </w:r>
      <w:r>
        <w:rPr>
          <w:rFonts w:hint="eastAsia" w:ascii="宋体" w:hAnsi="宋体"/>
        </w:rPr>
        <w:t>页码。</w:t>
      </w:r>
    </w:p>
    <w:p>
      <w:pPr>
        <w:snapToGrid w:val="0"/>
        <w:spacing w:line="440" w:lineRule="exact"/>
        <w:ind w:left="840" w:leftChars="400"/>
        <w:rPr>
          <w:rFonts w:ascii="宋体" w:hAnsi="宋体"/>
          <w:szCs w:val="21"/>
        </w:rPr>
      </w:pPr>
      <w:r>
        <w:rPr>
          <w:rFonts w:hint="eastAsia" w:ascii="楷体_GB2312" w:eastAsia="楷体_GB2312"/>
        </w:rPr>
        <w:t>王晴佳：《中国二十世纪史学与西方——论现代历史意识的产生》，《新史学》（台北）第9卷第1期，1998年3月，第55－82页。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2、报纸</w:t>
      </w:r>
    </w:p>
    <w:p>
      <w:pPr>
        <w:snapToGrid w:val="0"/>
        <w:spacing w:line="440" w:lineRule="exact"/>
        <w:ind w:firstLine="892" w:firstLineChars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[序号] 作者，文章题目，</w:t>
      </w:r>
      <w:r>
        <w:t xml:space="preserve"> </w:t>
      </w:r>
      <w:r>
        <w:rPr>
          <w:rFonts w:hint="eastAsia"/>
        </w:rPr>
        <w:t>文章名称</w:t>
      </w:r>
      <w:r>
        <w:rPr>
          <w:rFonts w:hint="eastAsia" w:ascii="宋体" w:hAnsi="宋体"/>
          <w:szCs w:val="21"/>
        </w:rPr>
        <w:t>，</w:t>
      </w:r>
      <w:r>
        <w:rPr>
          <w:rFonts w:hint="eastAsia"/>
        </w:rPr>
        <w:t>出版日期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</w:rPr>
        <w:t>版次。</w:t>
      </w:r>
    </w:p>
    <w:p>
      <w:pPr>
        <w:ind w:firstLine="945" w:firstLineChars="450"/>
        <w:rPr>
          <w:rFonts w:ascii="楷体_GB2312" w:eastAsia="楷体_GB2312"/>
        </w:rPr>
      </w:pPr>
      <w:r>
        <w:rPr>
          <w:rFonts w:hint="eastAsia" w:ascii="楷体_GB2312" w:eastAsia="楷体_GB2312"/>
        </w:rPr>
        <w:t>朱汉国：《民国时期社会结构的变动》，《光明日报》1997年6月17日，第4版。</w:t>
      </w:r>
    </w:p>
    <w:p>
      <w:pPr>
        <w:snapToGrid w:val="0"/>
        <w:spacing w:line="440" w:lineRule="exac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（五）、文献是</w:t>
      </w:r>
      <w:r>
        <w:rPr>
          <w:rFonts w:hint="eastAsia" w:ascii="宋体" w:hAnsi="宋体"/>
          <w:b/>
          <w:szCs w:val="21"/>
        </w:rPr>
        <w:t>会议论文集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firstLine="577" w:firstLineChars="2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[序号] 作者，文章题目，论文集名，出版地：出版单位，出版年份，起止页码。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中岛乐章：《明前期徽州的民事诉讼个案研究》，国际徽学研讨会论文，安徽绩溪，1998年，第9页。</w:t>
      </w:r>
    </w:p>
    <w:p>
      <w:pPr>
        <w:snapToGrid w:val="0"/>
        <w:spacing w:line="440" w:lineRule="exac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（六）、文献是</w:t>
      </w:r>
      <w:r>
        <w:rPr>
          <w:rFonts w:hint="eastAsia" w:ascii="宋体" w:hAnsi="宋体"/>
          <w:b/>
          <w:szCs w:val="21"/>
        </w:rPr>
        <w:t>学位论文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440" w:lineRule="exact"/>
        <w:ind w:left="210" w:leftChars="100"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[序号] 作者，论文题目，本/硕/博论文，保存地：保存单位，年份，起止页码.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方明东：《罗隆基政治思想研究（1913―1949）》，博士学位论文，北京师范大学历史系，2000年，第67页。</w:t>
      </w:r>
    </w:p>
    <w:p>
      <w:pPr>
        <w:snapToGrid w:val="0"/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（七）、文献是来自</w:t>
      </w:r>
      <w:r>
        <w:rPr>
          <w:rFonts w:hint="eastAsia" w:ascii="宋体" w:hAnsi="宋体"/>
          <w:b/>
          <w:szCs w:val="21"/>
        </w:rPr>
        <w:t>报告</w:t>
      </w:r>
      <w:r>
        <w:rPr>
          <w:rFonts w:hint="eastAsia" w:ascii="宋体" w:hAnsi="宋体"/>
          <w:szCs w:val="21"/>
        </w:rPr>
        <w:t>时，书写格式为：</w:t>
      </w:r>
    </w:p>
    <w:p>
      <w:pPr>
        <w:snapToGrid w:val="0"/>
        <w:spacing w:line="360" w:lineRule="auto"/>
        <w:ind w:left="210" w:leftChars="100" w:firstLine="577" w:firstLineChars="2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[序号] 报告者，报告题目，报告地：报告会主办单位，报告年份。</w:t>
      </w:r>
    </w:p>
    <w:p>
      <w:pPr>
        <w:spacing w:line="300" w:lineRule="auto"/>
        <w:ind w:firstLine="525" w:firstLineChars="250"/>
        <w:rPr>
          <w:rFonts w:ascii="宋体" w:hAnsi="宋体"/>
        </w:rPr>
      </w:pPr>
      <w:r>
        <w:rPr>
          <w:rFonts w:hint="eastAsia" w:ascii="宋体" w:hAnsi="宋体"/>
          <w:szCs w:val="21"/>
        </w:rPr>
        <w:t>（八）、</w:t>
      </w:r>
      <w:r>
        <w:rPr>
          <w:rFonts w:hint="eastAsia" w:ascii="宋体" w:hAnsi="宋体"/>
        </w:rPr>
        <w:t>未刊手稿、函电等，书写格式如下：</w:t>
      </w:r>
    </w:p>
    <w:p>
      <w:pPr>
        <w:ind w:firstLine="630" w:firstLine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《蒋介石日记》，毛思诚分类摘抄本，中国第二历史档案馆藏。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《陈云致王明信》，1937年5月16日，缩微胶卷，俄罗斯当代文献保管与研究中心藏，495/74/290。</w:t>
      </w:r>
    </w:p>
    <w:p>
      <w:pPr>
        <w:snapToGrid w:val="0"/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（九）、其他：</w:t>
      </w:r>
    </w:p>
    <w:p>
      <w:pPr>
        <w:spacing w:line="360" w:lineRule="auto"/>
        <w:ind w:firstLine="630" w:firstLineChars="300"/>
      </w:pPr>
      <w:r>
        <w:t>1</w:t>
      </w:r>
      <w:r>
        <w:rPr>
          <w:rFonts w:hint="eastAsia"/>
        </w:rPr>
        <w:t>、同一文献再次引证时可以将出版信息（出版地点、出版者、出版时间）省略。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戴裔煊：《〈明史·佛郎机传〉笺正》，第8页。</w:t>
      </w:r>
    </w:p>
    <w:p>
      <w:pPr>
        <w:ind w:left="630" w:leftChars="300"/>
      </w:pPr>
      <w:r>
        <w:t>2</w:t>
      </w:r>
      <w:r>
        <w:rPr>
          <w:rFonts w:hint="eastAsia"/>
        </w:rPr>
        <w:t>、再次引证同一文献时，第二责任者（译者、点校者）可以省略。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孔飞力：《叫魂》，第210页。</w:t>
      </w:r>
    </w:p>
    <w:p>
      <w:pPr>
        <w:ind w:left="630" w:leftChars="300"/>
      </w:pPr>
      <w:r>
        <w:t>3</w:t>
      </w:r>
      <w:r>
        <w:rPr>
          <w:rFonts w:hint="eastAsia"/>
        </w:rPr>
        <w:t>、析出文献再次引证时，可以根据情况将论文集、资料集、档案集的编者省略。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陈序经：《全盘西化的辩护》，《走出东方——陈序经文化论著辑要》，第280—283页。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4、</w:t>
      </w:r>
      <w:r>
        <w:rPr>
          <w:rFonts w:hint="eastAsia" w:ascii="宋体" w:hAnsi="宋体"/>
        </w:rPr>
        <w:t>转引的文献，须注明原文献。</w:t>
      </w:r>
    </w:p>
    <w:p>
      <w:pPr>
        <w:ind w:left="630" w:left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《宁波罢市风潮》，《新闻报》1919年6月9日，第2张，第2版，转引自冯筱才：《罢市与抵货运动中的江浙商人：以“五四”、“五卅”为中心》，《近代史研究》2003年第1期，第114页。</w:t>
      </w: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七、其他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（一）、正文中的注释序号一律放在标点符号后面。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（二）、正文中的大段引文建议变成同字号楷体。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（三）、采访录音录文采用五号字宋体，分两栏。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rPr>
          <w:rFonts w:ascii="宋体" w:hAnsi="宋体"/>
        </w:rPr>
      </w:pPr>
    </w:p>
    <w:p>
      <w:pPr>
        <w:rPr>
          <w:rFonts w:ascii="楷体" w:hAnsi="楷体" w:eastAsia="楷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03"/>
    <w:rsid w:val="00040BFB"/>
    <w:rsid w:val="00125B7C"/>
    <w:rsid w:val="00363D52"/>
    <w:rsid w:val="00456FD7"/>
    <w:rsid w:val="00761C31"/>
    <w:rsid w:val="00C02D6E"/>
    <w:rsid w:val="00C775BA"/>
    <w:rsid w:val="00D37703"/>
    <w:rsid w:val="00FC0A42"/>
    <w:rsid w:val="3B102C77"/>
    <w:rsid w:val="60775B0D"/>
    <w:rsid w:val="7719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2221</Characters>
  <Lines>18</Lines>
  <Paragraphs>5</Paragraphs>
  <TotalTime>1</TotalTime>
  <ScaleCrop>false</ScaleCrop>
  <LinksUpToDate>false</LinksUpToDate>
  <CharactersWithSpaces>2605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2019-02-15T04:25:00Z</dcterms:created>
  <dc:creator>ASUS</dc:creator>
  <cp:lastModifiedBy>Qing</cp:lastModifiedBy>
  <dcterms:modified xsi:type="dcterms:W3CDTF">2021-07-12T01:12:13Z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EFBE1EAA938F422AB18484E240180028</vt:lpwstr>
  </property>
</Properties>
</file>